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R4-211</w:t>
      </w:r>
      <w:r>
        <w:rPr>
          <w:rFonts w:hint="eastAsia" w:eastAsia="宋体" w:cs="Arial"/>
          <w:b/>
          <w:color w:val="auto"/>
          <w:sz w:val="24"/>
          <w:szCs w:val="24"/>
          <w:lang w:val="en-US" w:eastAsia="zh-CN"/>
        </w:rPr>
        <w:t>9215</w:t>
      </w:r>
      <w:bookmarkStart w:id="4" w:name="_GoBack"/>
      <w:bookmarkEnd w:id="4"/>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cs="Arial"/>
          <w:b w:val="0"/>
          <w:bCs/>
          <w:color w:val="auto"/>
          <w:sz w:val="20"/>
          <w:szCs w:val="20"/>
          <w:highlight w:val="none"/>
          <w:lang w:val="en-US" w:eastAsia="zh-CN"/>
        </w:rPr>
        <w:t>S</w:t>
      </w:r>
      <w:r>
        <w:rPr>
          <w:rFonts w:hint="default" w:cs="Times New Roman"/>
          <w:b w:val="0"/>
          <w:bCs/>
          <w:color w:val="auto"/>
          <w:sz w:val="20"/>
          <w:szCs w:val="20"/>
          <w:lang w:val="en-US" w:eastAsia="zh-CN"/>
        </w:rPr>
        <w:t>imultaneous Rx/Tx capability for FR1+FR1 FDD-TDD band combination</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7.39.2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In last meeting, some additional agreements were captured in the WF[1], in which:</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Issue 1-1-1: Simultaneous Rx/Tx capability for </w:t>
      </w:r>
      <w:bookmarkStart w:id="3" w:name="OLE_LINK9"/>
      <w:r>
        <w:rPr>
          <w:rFonts w:hint="default" w:ascii="Times New Roman" w:hAnsi="Times New Roman" w:cs="Times New Roman"/>
          <w:b/>
          <w:bCs/>
          <w:sz w:val="20"/>
          <w:szCs w:val="20"/>
          <w:lang w:eastAsia="zh-CN"/>
        </w:rPr>
        <w:t>FR1+FR1 FDD-TDD band combination</w:t>
      </w:r>
      <w:bookmarkEnd w:id="3"/>
    </w:p>
    <w:p>
      <w:pPr>
        <w:keepNext/>
        <w:keepLines/>
        <w:pageBreakBefore w:val="0"/>
        <w:widowControl w:val="0"/>
        <w:kinsoku/>
        <w:wordWrap/>
        <w:overflowPunct/>
        <w:topLinePunct w:val="0"/>
        <w:autoSpaceDE/>
        <w:autoSpaceDN/>
        <w:bidi w:val="0"/>
        <w:adjustRightInd/>
        <w:snapToGrid/>
        <w:spacing w:after="0"/>
        <w:textAlignment w:val="auto"/>
        <w:rPr>
          <w:rFonts w:hint="default" w:ascii="Times New Roman" w:hAnsi="Times New Roman" w:cs="Times New Roman" w:eastAsiaTheme="minorEastAsia"/>
          <w:i/>
          <w:color w:val="0070C0"/>
          <w:sz w:val="20"/>
          <w:szCs w:val="20"/>
          <w:lang w:val="en-US"/>
        </w:rPr>
      </w:pPr>
      <w:r>
        <w:rPr>
          <w:rFonts w:hint="default" w:ascii="Times New Roman" w:hAnsi="Times New Roman" w:cs="Times New Roman" w:eastAsiaTheme="minorEastAsia"/>
          <w:i/>
          <w:color w:val="0070C0"/>
          <w:sz w:val="20"/>
          <w:szCs w:val="20"/>
          <w:lang w:val="en-US"/>
        </w:rPr>
        <w:t>Proposed WF (a merged version of option 4 and 5 and some comments from operators)</w:t>
      </w:r>
    </w:p>
    <w:p>
      <w:pPr>
        <w:keepNext/>
        <w:keepLines/>
        <w:pageBreakBefore w:val="0"/>
        <w:widowControl w:val="0"/>
        <w:numPr>
          <w:ilvl w:val="0"/>
          <w:numId w:val="13"/>
        </w:numPr>
        <w:kinsoku/>
        <w:wordWrap/>
        <w:overflowPunct/>
        <w:topLinePunct w:val="0"/>
        <w:autoSpaceDE/>
        <w:autoSpaceDN/>
        <w:bidi w:val="0"/>
        <w:adjustRightInd/>
        <w:snapToGrid/>
        <w:spacing w:after="120" w:line="259" w:lineRule="auto"/>
        <w:jc w:val="both"/>
        <w:textAlignment w:val="auto"/>
        <w:rPr>
          <w:rFonts w:hint="default" w:ascii="Times New Roman" w:hAnsi="Times New Roman" w:cs="Times New Roman"/>
          <w:b/>
          <w:i/>
          <w:sz w:val="20"/>
          <w:szCs w:val="20"/>
        </w:rPr>
      </w:pPr>
      <w:r>
        <w:rPr>
          <w:rFonts w:hint="default" w:ascii="Times New Roman" w:hAnsi="Times New Roman" w:cs="Times New Roman"/>
          <w:b/>
          <w:i/>
          <w:sz w:val="20"/>
          <w:szCs w:val="20"/>
        </w:rPr>
        <w:t>Simultaneous Rx/Tx is the default capability in FDD-TDD FR1 band combinations</w:t>
      </w:r>
    </w:p>
    <w:p>
      <w:pPr>
        <w:keepNext/>
        <w:keepLines/>
        <w:pageBreakBefore w:val="0"/>
        <w:widowControl w:val="0"/>
        <w:numPr>
          <w:ilvl w:val="0"/>
          <w:numId w:val="13"/>
        </w:numPr>
        <w:kinsoku/>
        <w:wordWrap/>
        <w:overflowPunct/>
        <w:topLinePunct w:val="0"/>
        <w:autoSpaceDE/>
        <w:autoSpaceDN/>
        <w:bidi w:val="0"/>
        <w:adjustRightInd/>
        <w:snapToGrid/>
        <w:spacing w:after="120" w:line="259" w:lineRule="auto"/>
        <w:jc w:val="both"/>
        <w:textAlignment w:val="auto"/>
        <w:rPr>
          <w:rFonts w:hint="default" w:ascii="Times New Roman" w:hAnsi="Times New Roman" w:cs="Times New Roman"/>
          <w:b/>
          <w:i/>
          <w:sz w:val="20"/>
          <w:szCs w:val="20"/>
        </w:rPr>
      </w:pPr>
      <w:r>
        <w:rPr>
          <w:rFonts w:hint="default" w:ascii="Times New Roman" w:hAnsi="Times New Roman" w:cs="Times New Roman"/>
          <w:b/>
          <w:i/>
          <w:sz w:val="20"/>
          <w:szCs w:val="20"/>
        </w:rPr>
        <w:t>For TDD-FDD combinations, the capability is mandatory without checking if there are no MSD issues and frequency range is not adjacent to each other for the band combinations</w:t>
      </w:r>
    </w:p>
    <w:p>
      <w:pPr>
        <w:keepNext/>
        <w:keepLines/>
        <w:pageBreakBefore w:val="0"/>
        <w:widowControl w:val="0"/>
        <w:numPr>
          <w:ilvl w:val="0"/>
          <w:numId w:val="13"/>
        </w:numPr>
        <w:kinsoku/>
        <w:wordWrap/>
        <w:overflowPunct/>
        <w:topLinePunct w:val="0"/>
        <w:autoSpaceDE/>
        <w:autoSpaceDN/>
        <w:bidi w:val="0"/>
        <w:adjustRightInd/>
        <w:snapToGrid/>
        <w:spacing w:after="120" w:line="259" w:lineRule="auto"/>
        <w:jc w:val="both"/>
        <w:textAlignment w:val="auto"/>
        <w:rPr>
          <w:rFonts w:hint="default" w:ascii="Times New Roman" w:hAnsi="Times New Roman" w:cs="Times New Roman"/>
          <w:b/>
          <w:i/>
          <w:sz w:val="20"/>
          <w:szCs w:val="20"/>
        </w:rPr>
      </w:pPr>
      <w:r>
        <w:rPr>
          <w:rFonts w:hint="default" w:ascii="Times New Roman" w:hAnsi="Times New Roman" w:cs="Times New Roman"/>
          <w:b/>
          <w:i/>
          <w:sz w:val="20"/>
          <w:szCs w:val="20"/>
        </w:rPr>
        <w:t xml:space="preserve">For TDD-FDD combinations with REFSENS degradation due to self-interference, MSD caused by harmonics/IMD, etc. should be defined. </w:t>
      </w:r>
      <w:r>
        <w:rPr>
          <w:rFonts w:hint="default" w:ascii="Times New Roman" w:hAnsi="Times New Roman" w:eastAsia="Yu Mincho" w:cs="Times New Roman"/>
          <w:b/>
          <w:i/>
          <w:sz w:val="20"/>
          <w:szCs w:val="20"/>
        </w:rPr>
        <w:t>For some band combinations that are close in frequency, e.g. bands n7 and n38, other methods to mitigate interference can be considered as well. Simultaneous Rx/Tx capability for this kind of special cases could be handled separately from those having MSD issues.</w:t>
      </w:r>
    </w:p>
    <w:p>
      <w:pPr>
        <w:keepNext/>
        <w:keepLines/>
        <w:pageBreakBefore w:val="0"/>
        <w:widowControl w:val="0"/>
        <w:numPr>
          <w:ilvl w:val="0"/>
          <w:numId w:val="13"/>
        </w:numPr>
        <w:kinsoku/>
        <w:wordWrap/>
        <w:overflowPunct/>
        <w:topLinePunct w:val="0"/>
        <w:autoSpaceDE/>
        <w:autoSpaceDN/>
        <w:bidi w:val="0"/>
        <w:adjustRightInd/>
        <w:snapToGrid/>
        <w:spacing w:after="120" w:line="259" w:lineRule="auto"/>
        <w:jc w:val="both"/>
        <w:textAlignment w:val="auto"/>
        <w:rPr>
          <w:rFonts w:hint="default" w:ascii="Times New Roman" w:hAnsi="Times New Roman" w:cs="Times New Roman"/>
          <w:b/>
          <w:i/>
          <w:sz w:val="20"/>
          <w:szCs w:val="20"/>
        </w:rPr>
      </w:pPr>
      <w:r>
        <w:rPr>
          <w:rFonts w:hint="default" w:ascii="Times New Roman" w:hAnsi="Times New Roman" w:cs="Times New Roman"/>
          <w:b/>
          <w:i/>
          <w:sz w:val="20"/>
          <w:szCs w:val="20"/>
        </w:rPr>
        <w:t>For band combinations whose MSD is larger than a threshold (value FFS), further discuss whether simultaneous Rx/Tx can be changed to optional, otherwise, the simultaneous Rx/Tx capability is mandatory support.</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1-1-2: Simultaneous Rx/Tx capability for FR1+FR2 TDD-TDD band combination</w:t>
      </w:r>
    </w:p>
    <w:p>
      <w:pPr>
        <w:keepNext/>
        <w:keepLines/>
        <w:pageBreakBefore w:val="0"/>
        <w:widowControl w:val="0"/>
        <w:kinsoku/>
        <w:wordWrap/>
        <w:overflowPunct/>
        <w:topLinePunct w:val="0"/>
        <w:autoSpaceDE/>
        <w:autoSpaceDN/>
        <w:bidi w:val="0"/>
        <w:adjustRightInd/>
        <w:snapToGrid/>
        <w:spacing w:after="0"/>
        <w:textAlignment w:val="auto"/>
        <w:rPr>
          <w:rFonts w:hint="default" w:ascii="Times New Roman" w:hAnsi="Times New Roman" w:cs="Times New Roman" w:eastAsiaTheme="minorEastAsia"/>
          <w:i/>
          <w:color w:val="0070C0"/>
          <w:sz w:val="20"/>
          <w:szCs w:val="20"/>
          <w:lang w:val="en-US"/>
        </w:rPr>
      </w:pPr>
      <w:r>
        <w:rPr>
          <w:rFonts w:hint="default" w:ascii="Times New Roman" w:hAnsi="Times New Roman" w:cs="Times New Roman" w:eastAsiaTheme="minorEastAsia"/>
          <w:i/>
          <w:color w:val="0070C0"/>
          <w:sz w:val="20"/>
          <w:szCs w:val="20"/>
          <w:lang w:val="en-US"/>
        </w:rPr>
        <w:t xml:space="preserve">Proposed WF </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i/>
          <w:sz w:val="20"/>
          <w:szCs w:val="20"/>
          <w:lang w:val="en-US" w:eastAsia="en-US"/>
        </w:rPr>
      </w:pPr>
      <w:r>
        <w:rPr>
          <w:rFonts w:hint="default" w:ascii="Times New Roman" w:hAnsi="Times New Roman" w:cs="Times New Roman"/>
          <w:b/>
          <w:i/>
          <w:sz w:val="20"/>
          <w:szCs w:val="20"/>
          <w:lang w:val="en-US" w:eastAsia="en-US"/>
        </w:rPr>
        <w:t>Simultaneous Rx/Tx capability is mandatory for FR1+FR2 TDD-TDD band combination with FR1 bands up to 5GHz and FR2 bands above 24GHz, whether the FR1 bands can be extended to 7.125GHz is FFS until there are such FR1+FR2 band combinations available in RAN4.</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bCs/>
          <w:sz w:val="20"/>
          <w:szCs w:val="20"/>
          <w:lang w:eastAsia="ko-KR"/>
        </w:rPr>
      </w:pPr>
      <w:r>
        <w:rPr>
          <w:rFonts w:hint="default" w:ascii="Times New Roman" w:hAnsi="Times New Roman" w:cs="Times New Roman"/>
          <w:b/>
          <w:bCs/>
          <w:sz w:val="20"/>
          <w:szCs w:val="20"/>
          <w:lang w:val="en-US"/>
        </w:rPr>
        <w:t>Issue 1-1-3: Simultaneous Rx/Tx capability for FR2+FR2 TDD-TDD band combination</w:t>
      </w:r>
    </w:p>
    <w:p>
      <w:pPr>
        <w:keepNext/>
        <w:keepLines/>
        <w:pageBreakBefore w:val="0"/>
        <w:widowControl w:val="0"/>
        <w:kinsoku/>
        <w:wordWrap/>
        <w:overflowPunct/>
        <w:topLinePunct w:val="0"/>
        <w:autoSpaceDE/>
        <w:autoSpaceDN/>
        <w:bidi w:val="0"/>
        <w:adjustRightInd/>
        <w:snapToGrid/>
        <w:spacing w:after="0"/>
        <w:textAlignment w:val="auto"/>
        <w:rPr>
          <w:rFonts w:hint="default" w:ascii="Times New Roman" w:hAnsi="Times New Roman" w:cs="Times New Roman" w:eastAsiaTheme="minorEastAsia"/>
          <w:i/>
          <w:color w:val="0070C0"/>
          <w:sz w:val="20"/>
          <w:szCs w:val="20"/>
          <w:lang w:val="en-US"/>
        </w:rPr>
      </w:pPr>
      <w:r>
        <w:rPr>
          <w:rFonts w:hint="default" w:ascii="Times New Roman" w:hAnsi="Times New Roman" w:cs="Times New Roman" w:eastAsiaTheme="minorEastAsia"/>
          <w:i/>
          <w:color w:val="0070C0"/>
          <w:sz w:val="20"/>
          <w:szCs w:val="20"/>
          <w:lang w:val="en-US"/>
        </w:rPr>
        <w:t xml:space="preserve">Proposed WF </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i/>
          <w:sz w:val="20"/>
          <w:szCs w:val="20"/>
          <w:lang w:val="en-US" w:eastAsia="en-US"/>
        </w:rPr>
      </w:pPr>
      <w:r>
        <w:rPr>
          <w:rFonts w:hint="default" w:ascii="Times New Roman" w:hAnsi="Times New Roman" w:cs="Times New Roman"/>
          <w:b/>
          <w:i/>
          <w:sz w:val="20"/>
          <w:szCs w:val="20"/>
          <w:lang w:val="en-US" w:eastAsia="en-US"/>
        </w:rPr>
        <w:t>Simultaneous Rx/Tx capability for FR2+FR2 TDD-TDD band combination should be studied case by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It can be seen that it almost clear for this topic except some open issues like MSD threshold. Meanwhile, it seem the subclause in TR</w:t>
      </w:r>
      <w:r>
        <w:rPr>
          <w:rFonts w:hint="eastAsia" w:ascii="Times New Roman" w:hAnsi="Times New Roman" w:cs="Times New Roman"/>
          <w:b w:val="0"/>
          <w:bCs/>
          <w:color w:val="auto"/>
          <w:sz w:val="20"/>
          <w:szCs w:val="20"/>
          <w:lang w:val="en-US" w:eastAsia="zh-CN"/>
        </w:rPr>
        <w:t xml:space="preserve"> </w:t>
      </w:r>
      <w:r>
        <w:rPr>
          <w:rFonts w:hint="default" w:ascii="Times New Roman" w:hAnsi="Times New Roman" w:cs="Times New Roman"/>
          <w:b w:val="0"/>
          <w:bCs/>
          <w:color w:val="auto"/>
          <w:sz w:val="20"/>
          <w:szCs w:val="20"/>
          <w:lang w:val="en-US" w:eastAsia="zh-CN"/>
        </w:rPr>
        <w:t>38.839</w:t>
      </w:r>
      <w:r>
        <w:rPr>
          <w:rFonts w:hint="eastAsia" w:cs="Times New Roman"/>
          <w:b w:val="0"/>
          <w:bCs/>
          <w:color w:val="auto"/>
          <w:sz w:val="20"/>
          <w:szCs w:val="20"/>
          <w:lang w:val="en-US" w:eastAsia="zh-CN"/>
        </w:rPr>
        <w:t xml:space="preserve"> based on[3] for FR1+FR2 TDD-TDD are missing.</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eastAsia" w:cs="Times New Roman"/>
          <w:b w:val="0"/>
          <w:bCs/>
          <w:color w:val="auto"/>
          <w:sz w:val="20"/>
          <w:szCs w:val="20"/>
          <w:lang w:val="en-US" w:eastAsia="zh-CN"/>
        </w:rPr>
        <w:t>In this contribution, we give some discussion on MSD threshold.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So far it is FFS for the MSD values as the threshold, as described in the WF, it seems simultaneous Rx/Tx might be changed from </w:t>
      </w:r>
      <w:r>
        <w:rPr>
          <w:rFonts w:hint="default" w:eastAsia="宋体" w:cs="Times New Roman"/>
          <w:b w:val="0"/>
          <w:bCs w:val="0"/>
          <w:color w:val="auto"/>
          <w:sz w:val="20"/>
          <w:szCs w:val="20"/>
          <w:highlight w:val="none"/>
          <w:lang w:val="en-US" w:eastAsia="zh-CN" w:bidi="ar-SA"/>
        </w:rPr>
        <w:t>mandatory</w:t>
      </w:r>
      <w:r>
        <w:rPr>
          <w:rFonts w:hint="eastAsia" w:eastAsia="宋体" w:cs="Times New Roman"/>
          <w:b w:val="0"/>
          <w:bCs w:val="0"/>
          <w:color w:val="auto"/>
          <w:sz w:val="20"/>
          <w:szCs w:val="20"/>
          <w:highlight w:val="none"/>
          <w:lang w:val="en-US" w:eastAsia="zh-CN" w:bidi="ar-SA"/>
        </w:rPr>
        <w:t xml:space="preserve"> to optional when the MSD is larger than the threshold.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In our understanding, </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optional</w:t>
      </w:r>
      <w:r>
        <w:rPr>
          <w:rFonts w:hint="default"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 xml:space="preserve"> can be interpreted as not supporting s</w:t>
      </w:r>
      <w:r>
        <w:rPr>
          <w:rFonts w:hint="default" w:eastAsia="宋体" w:cs="Times New Roman"/>
          <w:b w:val="0"/>
          <w:bCs w:val="0"/>
          <w:color w:val="auto"/>
          <w:sz w:val="20"/>
          <w:szCs w:val="20"/>
          <w:highlight w:val="none"/>
          <w:lang w:val="en-US" w:eastAsia="zh-CN" w:bidi="ar-SA"/>
        </w:rPr>
        <w:t>imultaneous Rx/Tx</w:t>
      </w:r>
      <w:r>
        <w:rPr>
          <w:rFonts w:hint="eastAsia" w:eastAsia="宋体" w:cs="Times New Roman"/>
          <w:b w:val="0"/>
          <w:bCs w:val="0"/>
          <w:color w:val="auto"/>
          <w:sz w:val="20"/>
          <w:szCs w:val="20"/>
          <w:highlight w:val="none"/>
          <w:lang w:val="en-US" w:eastAsia="zh-CN" w:bidi="ar-SA"/>
        </w:rPr>
        <w:t xml:space="preserve"> operation. For a FDD-TDD inter-band NR CA band combination, if s</w:t>
      </w:r>
      <w:r>
        <w:rPr>
          <w:rFonts w:hint="default" w:eastAsia="宋体" w:cs="Times New Roman"/>
          <w:b w:val="0"/>
          <w:bCs w:val="0"/>
          <w:color w:val="auto"/>
          <w:sz w:val="20"/>
          <w:szCs w:val="20"/>
          <w:highlight w:val="none"/>
          <w:lang w:val="en-US" w:eastAsia="zh-CN" w:bidi="ar-SA"/>
        </w:rPr>
        <w:t>imultaneous Rx/Tx</w:t>
      </w:r>
      <w:r>
        <w:rPr>
          <w:rFonts w:hint="eastAsia" w:eastAsia="宋体" w:cs="Times New Roman"/>
          <w:b w:val="0"/>
          <w:bCs w:val="0"/>
          <w:color w:val="auto"/>
          <w:sz w:val="20"/>
          <w:szCs w:val="20"/>
          <w:highlight w:val="none"/>
          <w:lang w:val="en-US" w:eastAsia="zh-CN" w:bidi="ar-SA"/>
        </w:rPr>
        <w:t xml:space="preserve"> operation is not supported, then inter-band NR CA operation can not </w:t>
      </w:r>
      <w:r>
        <w:rPr>
          <w:rFonts w:hint="eastAsia" w:eastAsia="宋体" w:cs="Times New Roman"/>
          <w:b w:val="0"/>
          <w:bCs w:val="0"/>
          <w:color w:val="auto"/>
          <w:sz w:val="20"/>
          <w:szCs w:val="20"/>
          <w:highlight w:val="none"/>
          <w:lang w:val="en-US" w:eastAsia="zh-CN"/>
        </w:rPr>
        <w:t>workable since if UL Tx is at TDD band, then FDD DL Rx cannot work, also FDD UL Tx cannot work, which means FDD band doesn</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t work if the UL Tx is at TDD band, it is not CA operation.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For a FDD-TDD inter-band NR CA band combination, inter-band NR CA operation can not workable </w:t>
      </w:r>
      <w:r>
        <w:rPr>
          <w:rFonts w:hint="eastAsia" w:eastAsia="宋体" w:cs="Times New Roman"/>
          <w:b/>
          <w:bCs/>
          <w:color w:val="auto"/>
          <w:sz w:val="20"/>
          <w:szCs w:val="20"/>
          <w:highlight w:val="none"/>
          <w:lang w:val="en-US" w:eastAsia="zh-CN" w:bidi="ar-SA"/>
        </w:rPr>
        <w:t>if s</w:t>
      </w:r>
      <w:r>
        <w:rPr>
          <w:rFonts w:hint="default" w:eastAsia="宋体" w:cs="Times New Roman"/>
          <w:b/>
          <w:bCs/>
          <w:color w:val="auto"/>
          <w:sz w:val="20"/>
          <w:szCs w:val="20"/>
          <w:highlight w:val="none"/>
          <w:lang w:val="en-US" w:eastAsia="zh-CN" w:bidi="ar-SA"/>
        </w:rPr>
        <w:t>imultaneous Rx/Tx</w:t>
      </w:r>
      <w:r>
        <w:rPr>
          <w:rFonts w:hint="eastAsia" w:eastAsia="宋体" w:cs="Times New Roman"/>
          <w:b/>
          <w:bCs/>
          <w:color w:val="auto"/>
          <w:sz w:val="20"/>
          <w:szCs w:val="20"/>
          <w:highlight w:val="none"/>
          <w:lang w:val="en-US" w:eastAsia="zh-CN" w:bidi="ar-SA"/>
        </w:rPr>
        <w:t xml:space="preserve"> operation is not supported.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addition, according to the observations stated in [2], t</w:t>
      </w:r>
      <w:r>
        <w:rPr>
          <w:rFonts w:hint="eastAsia" w:eastAsia="宋体" w:cs="Times New Roman"/>
          <w:b w:val="0"/>
          <w:bCs w:val="0"/>
          <w:color w:val="auto"/>
          <w:sz w:val="20"/>
          <w:szCs w:val="20"/>
          <w:highlight w:val="none"/>
          <w:lang w:val="en-US" w:eastAsia="ko-KR" w:bidi="ar-SA"/>
        </w:rPr>
        <w:t>he actual MSD can be 20 dB or more better than the MSD in the specs</w:t>
      </w:r>
      <w:r>
        <w:rPr>
          <w:rFonts w:hint="eastAsia" w:eastAsia="宋体" w:cs="Times New Roman"/>
          <w:b w:val="0"/>
          <w:bCs w:val="0"/>
          <w:color w:val="auto"/>
          <w:sz w:val="20"/>
          <w:szCs w:val="20"/>
          <w:highlight w:val="none"/>
          <w:lang w:val="en-US" w:eastAsia="zh-CN" w:bidi="ar-SA"/>
        </w:rPr>
        <w:t>, which means even large MSD is defined in the spec, the actual MSD can be largely small. Of course, 20dB value may not be applied for all of the combinations, but we believe it is applicable for the band combination whose MSD is quite larger, such as 30dB etc. For these band combinations, if the MSD threshold value is defined, for example 20dB, then such band combinations may be not allowed to support s</w:t>
      </w:r>
      <w:r>
        <w:rPr>
          <w:rFonts w:hint="default" w:eastAsia="宋体" w:cs="Times New Roman"/>
          <w:b w:val="0"/>
          <w:bCs w:val="0"/>
          <w:color w:val="auto"/>
          <w:sz w:val="20"/>
          <w:szCs w:val="20"/>
          <w:highlight w:val="none"/>
          <w:lang w:val="en-US" w:eastAsia="zh-CN" w:bidi="ar-SA"/>
        </w:rPr>
        <w:t>imultaneous Rx/Tx capability</w:t>
      </w:r>
      <w:r>
        <w:rPr>
          <w:rFonts w:hint="eastAsia" w:eastAsia="宋体" w:cs="Times New Roman"/>
          <w:b w:val="0"/>
          <w:bCs w:val="0"/>
          <w:color w:val="auto"/>
          <w:sz w:val="20"/>
          <w:szCs w:val="20"/>
          <w:highlight w:val="none"/>
          <w:lang w:val="en-US" w:eastAsia="zh-CN" w:bidi="ar-SA"/>
        </w:rPr>
        <w:t xml:space="preserve"> due to the MSD value (30dB) is larger than the threshold. However, in reality implementation, due to 20dB or more better MSD could be achieved which is 10dB, in this case, not supporting s</w:t>
      </w:r>
      <w:r>
        <w:rPr>
          <w:rFonts w:hint="default" w:eastAsia="宋体" w:cs="Times New Roman"/>
          <w:b w:val="0"/>
          <w:bCs w:val="0"/>
          <w:color w:val="auto"/>
          <w:sz w:val="20"/>
          <w:szCs w:val="20"/>
          <w:highlight w:val="none"/>
          <w:lang w:val="en-US" w:eastAsia="zh-CN" w:bidi="ar-SA"/>
        </w:rPr>
        <w:t>imultaneous Rx/Tx</w:t>
      </w:r>
      <w:r>
        <w:rPr>
          <w:rFonts w:hint="eastAsia" w:eastAsia="宋体" w:cs="Times New Roman"/>
          <w:b w:val="0"/>
          <w:bCs w:val="0"/>
          <w:color w:val="auto"/>
          <w:sz w:val="20"/>
          <w:szCs w:val="20"/>
          <w:highlight w:val="none"/>
          <w:lang w:val="en-US" w:eastAsia="zh-CN" w:bidi="ar-SA"/>
        </w:rPr>
        <w:t xml:space="preserve"> will cause performance reduction.Moreover, the performance would be affected if changing the s</w:t>
      </w:r>
      <w:r>
        <w:rPr>
          <w:rFonts w:hint="default" w:eastAsia="宋体" w:cs="Times New Roman"/>
          <w:b w:val="0"/>
          <w:bCs w:val="0"/>
          <w:color w:val="auto"/>
          <w:sz w:val="20"/>
          <w:szCs w:val="20"/>
          <w:highlight w:val="none"/>
          <w:lang w:val="en-US" w:eastAsia="zh-CN" w:bidi="ar-SA"/>
        </w:rPr>
        <w:t>imultaneous Rx/Tx capability</w:t>
      </w:r>
      <w:r>
        <w:rPr>
          <w:rFonts w:hint="eastAsia" w:eastAsia="宋体" w:cs="Times New Roman"/>
          <w:b w:val="0"/>
          <w:bCs w:val="0"/>
          <w:color w:val="auto"/>
          <w:sz w:val="20"/>
          <w:szCs w:val="20"/>
          <w:highlight w:val="none"/>
          <w:lang w:val="en-US" w:eastAsia="zh-CN" w:bidi="ar-SA"/>
        </w:rPr>
        <w:t xml:space="preserve"> from </w:t>
      </w:r>
      <w:r>
        <w:rPr>
          <w:rFonts w:hint="default" w:eastAsia="宋体" w:cs="Times New Roman"/>
          <w:b w:val="0"/>
          <w:bCs w:val="0"/>
          <w:color w:val="auto"/>
          <w:sz w:val="20"/>
          <w:szCs w:val="20"/>
          <w:highlight w:val="none"/>
          <w:lang w:val="en-US" w:eastAsia="en-US" w:bidi="ar-SA"/>
        </w:rPr>
        <w:t xml:space="preserve">mandatory </w:t>
      </w:r>
      <w:r>
        <w:rPr>
          <w:rFonts w:hint="eastAsia" w:eastAsia="宋体" w:cs="Times New Roman"/>
          <w:b w:val="0"/>
          <w:bCs w:val="0"/>
          <w:color w:val="auto"/>
          <w:sz w:val="20"/>
          <w:szCs w:val="20"/>
          <w:highlight w:val="none"/>
          <w:lang w:val="en-US" w:eastAsia="zh-CN" w:bidi="ar-SA"/>
        </w:rPr>
        <w:t xml:space="preserve">to </w:t>
      </w:r>
      <w:r>
        <w:rPr>
          <w:rFonts w:hint="default" w:eastAsia="宋体" w:cs="Times New Roman"/>
          <w:b w:val="0"/>
          <w:bCs w:val="0"/>
          <w:color w:val="auto"/>
          <w:sz w:val="20"/>
          <w:szCs w:val="20"/>
          <w:highlight w:val="none"/>
          <w:lang w:val="en-US" w:eastAsia="zh-CN" w:bidi="ar-SA"/>
        </w:rPr>
        <w:t>optional</w:t>
      </w:r>
      <w:r>
        <w:rPr>
          <w:rFonts w:hint="eastAsia" w:eastAsia="宋体" w:cs="Times New Roman"/>
          <w:b w:val="0"/>
          <w:bCs w:val="0"/>
          <w:color w:val="auto"/>
          <w:sz w:val="20"/>
          <w:szCs w:val="20"/>
          <w:highlight w:val="none"/>
          <w:lang w:val="en-US" w:eastAsia="zh-CN" w:bidi="ar-SA"/>
        </w:rPr>
        <w:t xml:space="preserve"> for a certain FDD-TDD inter-band NR CA band combination, especially this band combination have been deployed. Also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Due to </w:t>
      </w:r>
      <w:r>
        <w:rPr>
          <w:rFonts w:hint="eastAsia" w:eastAsia="宋体" w:cs="Times New Roman"/>
          <w:b/>
          <w:bCs/>
          <w:color w:val="auto"/>
          <w:sz w:val="20"/>
          <w:szCs w:val="20"/>
          <w:highlight w:val="none"/>
          <w:lang w:val="en-US" w:eastAsia="ko-KR" w:bidi="ar-SA"/>
        </w:rPr>
        <w:t>actual MSD can be 20 dB or more better than the MSD in the specs</w:t>
      </w:r>
      <w:r>
        <w:rPr>
          <w:rFonts w:hint="eastAsia" w:eastAsia="宋体" w:cs="Times New Roman"/>
          <w:b/>
          <w:bCs/>
          <w:color w:val="auto"/>
          <w:sz w:val="20"/>
          <w:szCs w:val="20"/>
          <w:highlight w:val="none"/>
          <w:lang w:val="en-US" w:eastAsia="zh-CN" w:bidi="ar-SA"/>
        </w:rPr>
        <w:t>, actual MSD could be smaller than the threshold in case of the MSD defined in the spec larger than the MSD threshold.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performance would be affected if changing the s</w:t>
      </w:r>
      <w:r>
        <w:rPr>
          <w:rFonts w:hint="default" w:eastAsia="宋体" w:cs="Times New Roman"/>
          <w:b/>
          <w:bCs/>
          <w:color w:val="auto"/>
          <w:sz w:val="20"/>
          <w:szCs w:val="20"/>
          <w:highlight w:val="none"/>
          <w:lang w:val="en-US" w:eastAsia="zh-CN" w:bidi="ar-SA"/>
        </w:rPr>
        <w:t>imultaneous Rx/Tx capability</w:t>
      </w:r>
      <w:r>
        <w:rPr>
          <w:rFonts w:hint="eastAsia" w:eastAsia="宋体" w:cs="Times New Roman"/>
          <w:b/>
          <w:bCs/>
          <w:color w:val="auto"/>
          <w:sz w:val="20"/>
          <w:szCs w:val="20"/>
          <w:highlight w:val="none"/>
          <w:lang w:val="en-US" w:eastAsia="zh-CN" w:bidi="ar-SA"/>
        </w:rPr>
        <w:t xml:space="preserve"> from </w:t>
      </w:r>
      <w:r>
        <w:rPr>
          <w:rFonts w:hint="default" w:eastAsia="宋体" w:cs="Times New Roman"/>
          <w:b/>
          <w:bCs/>
          <w:color w:val="auto"/>
          <w:sz w:val="20"/>
          <w:szCs w:val="20"/>
          <w:highlight w:val="none"/>
          <w:lang w:val="en-US" w:eastAsia="en-US" w:bidi="ar-SA"/>
        </w:rPr>
        <w:t xml:space="preserve">mandatory </w:t>
      </w:r>
      <w:r>
        <w:rPr>
          <w:rFonts w:hint="eastAsia" w:eastAsia="宋体" w:cs="Times New Roman"/>
          <w:b/>
          <w:bCs/>
          <w:color w:val="auto"/>
          <w:sz w:val="20"/>
          <w:szCs w:val="20"/>
          <w:highlight w:val="none"/>
          <w:lang w:val="en-US" w:eastAsia="zh-CN" w:bidi="ar-SA"/>
        </w:rPr>
        <w:t xml:space="preserve">to </w:t>
      </w:r>
      <w:r>
        <w:rPr>
          <w:rFonts w:hint="default" w:eastAsia="宋体" w:cs="Times New Roman"/>
          <w:b/>
          <w:bCs/>
          <w:color w:val="auto"/>
          <w:sz w:val="20"/>
          <w:szCs w:val="20"/>
          <w:highlight w:val="none"/>
          <w:lang w:val="en-US" w:eastAsia="zh-CN" w:bidi="ar-SA"/>
        </w:rPr>
        <w:t>optional</w:t>
      </w:r>
      <w:r>
        <w:rPr>
          <w:rFonts w:hint="eastAsia" w:eastAsia="宋体" w:cs="Times New Roman"/>
          <w:b/>
          <w:bCs/>
          <w:color w:val="auto"/>
          <w:sz w:val="20"/>
          <w:szCs w:val="20"/>
          <w:highlight w:val="none"/>
          <w:lang w:val="en-US" w:eastAsia="zh-CN" w:bidi="ar-SA"/>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currently TS38.101-1 v17.3.0, some FDD-TDD inter-band NR CA band combination such as CA_n1-n77/n78/79 are a</w:t>
      </w:r>
      <w:r>
        <w:rPr>
          <w:rFonts w:hint="default" w:ascii="Times New Roman" w:hAnsi="Times New Roman" w:cs="Times New Roman"/>
          <w:color w:val="auto"/>
          <w:sz w:val="20"/>
          <w:szCs w:val="20"/>
        </w:rPr>
        <w:t>pplicable for UE supporting inter-band carrier aggregation with mandatory simultaneous Rx/Tx capability.</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NR CA Band</w:t>
            </w:r>
          </w:p>
        </w:tc>
        <w:tc>
          <w:tcPr>
            <w:tcW w:w="2552"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NR Band</w:t>
            </w:r>
          </w:p>
          <w:p>
            <w:pPr>
              <w:pStyle w:val="211"/>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(Table 5.2-1)</w:t>
            </w:r>
          </w:p>
        </w:tc>
        <w:tc>
          <w:tcPr>
            <w:tcW w:w="2552" w:type="dxa"/>
            <w:tcBorders>
              <w:top w:val="single" w:color="auto" w:sz="4" w:space="0"/>
              <w:left w:val="single" w:color="auto" w:sz="4" w:space="0"/>
              <w:bottom w:val="single" w:color="auto" w:sz="4" w:space="0"/>
              <w:right w:val="single" w:color="auto" w:sz="4" w:space="0"/>
            </w:tcBorders>
          </w:tcPr>
          <w:p>
            <w:pPr>
              <w:pStyle w:val="211"/>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DL interruption allowed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bCs/>
                <w:color w:val="auto"/>
                <w:sz w:val="20"/>
                <w:szCs w:val="20"/>
                <w:lang w:val="en-US"/>
              </w:rPr>
              <w:t>CA_n1-n41</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CA_n1-n74</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n1, n74</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CA_n</w:t>
            </w:r>
            <w:r>
              <w:rPr>
                <w:rFonts w:hint="default" w:ascii="Times New Roman" w:hAnsi="Times New Roman" w:cs="Times New Roman"/>
                <w:color w:val="auto"/>
                <w:sz w:val="20"/>
                <w:szCs w:val="20"/>
                <w:lang w:val="en-US" w:eastAsia="zh-CN"/>
              </w:rPr>
              <w:t>1</w:t>
            </w:r>
            <w:r>
              <w:rPr>
                <w:rFonts w:hint="default" w:ascii="Times New Roman" w:hAnsi="Times New Roman" w:cs="Times New Roman"/>
                <w:color w:val="auto"/>
                <w:sz w:val="20"/>
                <w:szCs w:val="20"/>
              </w:rPr>
              <w:t>-n77</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n1</w:t>
            </w:r>
            <w:r>
              <w:rPr>
                <w:rFonts w:hint="default" w:ascii="Times New Roman" w:hAnsi="Times New Roman" w:cs="Times New Roman"/>
                <w:color w:val="auto"/>
                <w:sz w:val="20"/>
                <w:szCs w:val="20"/>
              </w:rPr>
              <w:t>, n77</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CA_n</w:t>
            </w:r>
            <w:r>
              <w:rPr>
                <w:rFonts w:hint="default" w:ascii="Times New Roman" w:hAnsi="Times New Roman" w:cs="Times New Roman"/>
                <w:color w:val="auto"/>
                <w:sz w:val="20"/>
                <w:szCs w:val="20"/>
                <w:lang w:val="en-US" w:eastAsia="zh-CN"/>
              </w:rPr>
              <w:t>1</w:t>
            </w:r>
            <w:r>
              <w:rPr>
                <w:rFonts w:hint="default" w:ascii="Times New Roman" w:hAnsi="Times New Roman" w:cs="Times New Roman"/>
                <w:color w:val="auto"/>
                <w:sz w:val="20"/>
                <w:szCs w:val="20"/>
              </w:rPr>
              <w:t>-n7</w:t>
            </w:r>
            <w:r>
              <w:rPr>
                <w:rFonts w:hint="default" w:ascii="Times New Roman" w:hAnsi="Times New Roman" w:cs="Times New Roman"/>
                <w:color w:val="auto"/>
                <w:sz w:val="20"/>
                <w:szCs w:val="20"/>
                <w:lang w:val="en-US" w:eastAsia="zh-CN"/>
              </w:rPr>
              <w:t>8</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n1</w:t>
            </w:r>
            <w:r>
              <w:rPr>
                <w:rFonts w:hint="default" w:ascii="Times New Roman" w:hAnsi="Times New Roman" w:cs="Times New Roman"/>
                <w:color w:val="auto"/>
                <w:sz w:val="20"/>
                <w:szCs w:val="20"/>
              </w:rPr>
              <w:t>, n7</w:t>
            </w:r>
            <w:r>
              <w:rPr>
                <w:rFonts w:hint="default" w:ascii="Times New Roman" w:hAnsi="Times New Roman" w:cs="Times New Roman"/>
                <w:color w:val="auto"/>
                <w:sz w:val="20"/>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CA_n</w:t>
            </w:r>
            <w:r>
              <w:rPr>
                <w:rFonts w:hint="default" w:ascii="Times New Roman" w:hAnsi="Times New Roman" w:cs="Times New Roman"/>
                <w:color w:val="auto"/>
                <w:sz w:val="20"/>
                <w:szCs w:val="20"/>
                <w:lang w:val="en-US" w:eastAsia="zh-CN"/>
              </w:rPr>
              <w:t>1</w:t>
            </w:r>
            <w:r>
              <w:rPr>
                <w:rFonts w:hint="default" w:ascii="Times New Roman" w:hAnsi="Times New Roman" w:cs="Times New Roman"/>
                <w:color w:val="auto"/>
                <w:sz w:val="20"/>
                <w:szCs w:val="20"/>
              </w:rPr>
              <w:t>-n7</w:t>
            </w:r>
            <w:r>
              <w:rPr>
                <w:rFonts w:hint="default" w:ascii="Times New Roman" w:hAnsi="Times New Roman" w:cs="Times New Roman"/>
                <w:color w:val="auto"/>
                <w:sz w:val="20"/>
                <w:szCs w:val="20"/>
                <w:lang w:val="en-US" w:eastAsia="zh-CN"/>
              </w:rPr>
              <w:t>9</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n1</w:t>
            </w:r>
            <w:r>
              <w:rPr>
                <w:rFonts w:hint="default" w:ascii="Times New Roman" w:hAnsi="Times New Roman" w:cs="Times New Roman"/>
                <w:color w:val="auto"/>
                <w:sz w:val="20"/>
                <w:szCs w:val="20"/>
              </w:rPr>
              <w:t>, n7</w:t>
            </w:r>
            <w:r>
              <w:rPr>
                <w:rFonts w:hint="default" w:ascii="Times New Roman" w:hAnsi="Times New Roman" w:cs="Times New Roman"/>
                <w:color w:val="auto"/>
                <w:sz w:val="20"/>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w:t>
            </w:r>
            <w:r>
              <w:rPr>
                <w:rFonts w:hint="eastAsia" w:ascii="Times New Roman" w:hAnsi="Times New Roman" w:eastAsia="宋体" w:cs="Times New Roman"/>
                <w:color w:val="auto"/>
                <w:sz w:val="20"/>
                <w:szCs w:val="20"/>
                <w:lang w:eastAsia="zh-CN"/>
              </w:rPr>
              <w:t>n3</w:t>
            </w:r>
            <w:r>
              <w:rPr>
                <w:rFonts w:hint="default" w:ascii="Times New Roman" w:hAnsi="Times New Roman" w:cs="Times New Roman"/>
                <w:color w:val="auto"/>
                <w:sz w:val="20"/>
                <w:szCs w:val="20"/>
              </w:rPr>
              <w:t>-n77</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n3</w:t>
            </w:r>
            <w:r>
              <w:rPr>
                <w:rFonts w:hint="default" w:ascii="Times New Roman" w:hAnsi="Times New Roman" w:cs="Times New Roman"/>
                <w:color w:val="auto"/>
                <w:sz w:val="20"/>
                <w:szCs w:val="20"/>
              </w:rPr>
              <w:t>, n77</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w:t>
            </w:r>
            <w:r>
              <w:rPr>
                <w:rFonts w:hint="eastAsia" w:ascii="Times New Roman" w:hAnsi="Times New Roman" w:eastAsia="宋体" w:cs="Times New Roman"/>
                <w:color w:val="auto"/>
                <w:sz w:val="20"/>
                <w:szCs w:val="20"/>
                <w:lang w:eastAsia="zh-CN"/>
              </w:rPr>
              <w:t>n3</w:t>
            </w:r>
            <w:r>
              <w:rPr>
                <w:rFonts w:hint="default" w:ascii="Times New Roman" w:hAnsi="Times New Roman" w:cs="Times New Roman"/>
                <w:color w:val="auto"/>
                <w:sz w:val="20"/>
                <w:szCs w:val="20"/>
              </w:rPr>
              <w:t>-n7</w:t>
            </w:r>
            <w:r>
              <w:rPr>
                <w:rFonts w:hint="default" w:ascii="Times New Roman" w:hAnsi="Times New Roman" w:cs="Times New Roman"/>
                <w:color w:val="auto"/>
                <w:sz w:val="20"/>
                <w:szCs w:val="20"/>
                <w:lang w:val="en-US" w:eastAsia="zh-CN"/>
              </w:rPr>
              <w:t>8</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n3</w:t>
            </w:r>
            <w:r>
              <w:rPr>
                <w:rFonts w:hint="default" w:ascii="Times New Roman" w:hAnsi="Times New Roman" w:cs="Times New Roman"/>
                <w:color w:val="auto"/>
                <w:sz w:val="20"/>
                <w:szCs w:val="20"/>
              </w:rPr>
              <w:t>, n7</w:t>
            </w:r>
            <w:r>
              <w:rPr>
                <w:rFonts w:hint="default" w:ascii="Times New Roman" w:hAnsi="Times New Roman" w:cs="Times New Roman"/>
                <w:color w:val="auto"/>
                <w:sz w:val="20"/>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CA_</w:t>
            </w:r>
            <w:r>
              <w:rPr>
                <w:rFonts w:hint="eastAsia" w:ascii="Times New Roman" w:hAnsi="Times New Roman" w:eastAsia="宋体" w:cs="Times New Roman"/>
                <w:color w:val="auto"/>
                <w:sz w:val="20"/>
                <w:szCs w:val="20"/>
                <w:lang w:eastAsia="zh-CN"/>
              </w:rPr>
              <w:t>n3</w:t>
            </w:r>
            <w:r>
              <w:rPr>
                <w:rFonts w:hint="default" w:ascii="Times New Roman" w:hAnsi="Times New Roman" w:cs="Times New Roman"/>
                <w:color w:val="auto"/>
                <w:sz w:val="20"/>
                <w:szCs w:val="20"/>
              </w:rPr>
              <w:t>-n7</w:t>
            </w:r>
            <w:r>
              <w:rPr>
                <w:rFonts w:hint="default" w:ascii="Times New Roman" w:hAnsi="Times New Roman" w:cs="Times New Roman"/>
                <w:color w:val="auto"/>
                <w:sz w:val="20"/>
                <w:szCs w:val="20"/>
                <w:lang w:val="en-US" w:eastAsia="zh-CN"/>
              </w:rPr>
              <w:t>9</w:t>
            </w:r>
            <w:r>
              <w:rPr>
                <w:rFonts w:hint="default" w:ascii="Times New Roman" w:hAnsi="Times New Roman" w:cs="Times New Roman"/>
                <w:color w:val="auto"/>
                <w:sz w:val="20"/>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n3</w:t>
            </w:r>
            <w:r>
              <w:rPr>
                <w:rFonts w:hint="default" w:ascii="Times New Roman" w:hAnsi="Times New Roman" w:cs="Times New Roman"/>
                <w:color w:val="auto"/>
                <w:sz w:val="20"/>
                <w:szCs w:val="20"/>
              </w:rPr>
              <w:t>, n7</w:t>
            </w:r>
            <w:r>
              <w:rPr>
                <w:rFonts w:hint="default" w:ascii="Times New Roman" w:hAnsi="Times New Roman" w:cs="Times New Roman"/>
                <w:color w:val="auto"/>
                <w:sz w:val="20"/>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vAlign w:val="top"/>
          </w:tcPr>
          <w:p>
            <w:pPr>
              <w:pStyle w:val="210"/>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tcPr>
          <w:p>
            <w:pPr>
              <w:pStyle w:val="142"/>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rPr>
              <w:t>NOTE 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Applicable for UE supporting inter-band carrier aggregation with mandatory simultaneous Rx/Tx capability.</w:t>
            </w:r>
          </w:p>
        </w:tc>
      </w:tr>
    </w:tbl>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By reviewing MSD values defined for all the combination in the spec:</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Theme="minorEastAsia"/>
          <w:lang w:val="en-US" w:eastAsia="zh-CN"/>
        </w:rPr>
        <w:t xml:space="preserve">- </w:t>
      </w:r>
      <w:r>
        <w:rPr>
          <w:rFonts w:hint="eastAsia" w:eastAsia="宋体" w:cs="Times New Roman"/>
          <w:b w:val="0"/>
          <w:bCs w:val="0"/>
          <w:color w:val="auto"/>
          <w:sz w:val="20"/>
          <w:szCs w:val="20"/>
          <w:highlight w:val="none"/>
          <w:lang w:val="en-US" w:eastAsia="zh-CN" w:bidi="ar-SA"/>
        </w:rPr>
        <w:t>For harmonic MSD, t</w:t>
      </w:r>
      <w:r>
        <w:rPr>
          <w:rFonts w:hint="eastAsia" w:eastAsia="宋体" w:cs="Times New Roman"/>
          <w:b w:val="0"/>
          <w:bCs w:val="0"/>
          <w:color w:val="auto"/>
          <w:sz w:val="20"/>
          <w:szCs w:val="20"/>
          <w:highlight w:val="none"/>
          <w:lang w:val="en-GB" w:eastAsia="ja-JP" w:bidi="ar-SA"/>
        </w:rPr>
        <w:t>he largest MSD value</w:t>
      </w:r>
      <w:r>
        <w:rPr>
          <w:rFonts w:hint="eastAsia"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GB" w:eastAsia="ja-JP" w:bidi="ar-SA"/>
        </w:rPr>
        <w:t>is 2</w:t>
      </w:r>
      <w:r>
        <w:rPr>
          <w:rFonts w:hint="eastAsia" w:eastAsia="宋体" w:cs="Times New Roman"/>
          <w:b w:val="0"/>
          <w:bCs w:val="0"/>
          <w:color w:val="auto"/>
          <w:sz w:val="20"/>
          <w:szCs w:val="20"/>
          <w:highlight w:val="none"/>
          <w:lang w:val="en-US" w:eastAsia="zh-CN" w:bidi="ar-SA"/>
        </w:rPr>
        <w:t>3.9dBm, which is 2</w:t>
      </w:r>
      <w:r>
        <w:rPr>
          <w:rFonts w:hint="eastAsia" w:eastAsia="宋体" w:cs="Times New Roman"/>
          <w:b w:val="0"/>
          <w:bCs w:val="0"/>
          <w:color w:val="auto"/>
          <w:sz w:val="20"/>
          <w:szCs w:val="20"/>
          <w:highlight w:val="none"/>
          <w:vertAlign w:val="superscript"/>
          <w:lang w:val="en-US" w:eastAsia="zh-CN" w:bidi="ar-SA"/>
        </w:rPr>
        <w:t>nd</w:t>
      </w:r>
      <w:r>
        <w:rPr>
          <w:rFonts w:hint="eastAsia" w:eastAsia="宋体" w:cs="Times New Roman"/>
          <w:b w:val="0"/>
          <w:bCs w:val="0"/>
          <w:color w:val="auto"/>
          <w:sz w:val="20"/>
          <w:szCs w:val="20"/>
          <w:highlight w:val="none"/>
          <w:lang w:val="en-US" w:eastAsia="zh-CN" w:bidi="ar-SA"/>
        </w:rPr>
        <w:t xml:space="preserve"> harmonic MSD for</w:t>
      </w:r>
      <w:r>
        <w:rPr>
          <w:rFonts w:hint="eastAsia" w:eastAsia="宋体" w:cs="Times New Roman"/>
          <w:b w:val="0"/>
          <w:bCs w:val="0"/>
          <w:color w:val="auto"/>
          <w:sz w:val="20"/>
          <w:szCs w:val="20"/>
          <w:highlight w:val="none"/>
          <w:lang w:val="en-GB" w:eastAsia="ja-JP" w:bidi="ar-SA"/>
        </w:rPr>
        <w:t xml:space="preserve"> CA_n</w:t>
      </w:r>
      <w:r>
        <w:rPr>
          <w:rFonts w:hint="eastAsia" w:eastAsia="宋体" w:cs="Times New Roman"/>
          <w:b w:val="0"/>
          <w:bCs w:val="0"/>
          <w:color w:val="auto"/>
          <w:sz w:val="20"/>
          <w:szCs w:val="20"/>
          <w:highlight w:val="none"/>
          <w:lang w:val="en-US" w:eastAsia="zh-CN" w:bidi="ar-SA"/>
        </w:rPr>
        <w:t>3</w:t>
      </w:r>
      <w:r>
        <w:rPr>
          <w:rFonts w:hint="eastAsia" w:eastAsia="宋体" w:cs="Times New Roman"/>
          <w:b w:val="0"/>
          <w:bCs w:val="0"/>
          <w:color w:val="auto"/>
          <w:sz w:val="20"/>
          <w:szCs w:val="20"/>
          <w:highlight w:val="none"/>
          <w:lang w:val="en-GB" w:eastAsia="ja-JP" w:bidi="ar-SA"/>
        </w:rPr>
        <w:t>-n77</w:t>
      </w:r>
      <w:r>
        <w:rPr>
          <w:rFonts w:hint="eastAsia" w:eastAsia="宋体" w:cs="Times New Roman"/>
          <w:b w:val="0"/>
          <w:bCs w:val="0"/>
          <w:color w:val="auto"/>
          <w:sz w:val="20"/>
          <w:szCs w:val="20"/>
          <w:highlight w:val="none"/>
          <w:lang w:val="en-US" w:eastAsia="zh-CN" w:bidi="ar-SA"/>
        </w:rPr>
        <w:t>/n78 combination.</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For IMD MSD, t</w:t>
      </w:r>
      <w:r>
        <w:rPr>
          <w:rFonts w:hint="eastAsia" w:eastAsia="宋体" w:cs="Times New Roman"/>
          <w:b w:val="0"/>
          <w:bCs w:val="0"/>
          <w:color w:val="auto"/>
          <w:sz w:val="20"/>
          <w:szCs w:val="20"/>
          <w:highlight w:val="none"/>
          <w:lang w:val="en-GB" w:eastAsia="ja-JP" w:bidi="ar-SA"/>
        </w:rPr>
        <w:t>he largest MSD value</w:t>
      </w:r>
      <w:r>
        <w:rPr>
          <w:rFonts w:hint="eastAsia" w:eastAsia="宋体" w:cs="Times New Roman"/>
          <w:b w:val="0"/>
          <w:bCs w:val="0"/>
          <w:color w:val="auto"/>
          <w:sz w:val="20"/>
          <w:szCs w:val="20"/>
          <w:highlight w:val="none"/>
          <w:lang w:val="en-US" w:eastAsia="zh-CN" w:bidi="ar-SA"/>
        </w:rPr>
        <w:t xml:space="preserve"> </w:t>
      </w:r>
      <w:r>
        <w:rPr>
          <w:rFonts w:hint="eastAsia" w:eastAsia="宋体" w:cs="Times New Roman"/>
          <w:b w:val="0"/>
          <w:bCs w:val="0"/>
          <w:color w:val="auto"/>
          <w:sz w:val="20"/>
          <w:szCs w:val="20"/>
          <w:highlight w:val="none"/>
          <w:lang w:val="en-GB" w:eastAsia="ja-JP" w:bidi="ar-SA"/>
        </w:rPr>
        <w:t>is 29.8</w:t>
      </w:r>
      <w:r>
        <w:rPr>
          <w:rFonts w:hint="eastAsia" w:eastAsia="宋体" w:cs="Times New Roman"/>
          <w:b w:val="0"/>
          <w:bCs w:val="0"/>
          <w:color w:val="auto"/>
          <w:sz w:val="20"/>
          <w:szCs w:val="20"/>
          <w:highlight w:val="none"/>
          <w:lang w:val="en-US" w:eastAsia="zh-CN" w:bidi="ar-SA"/>
        </w:rPr>
        <w:t xml:space="preserve">dBm </w:t>
      </w:r>
      <w:r>
        <w:rPr>
          <w:rFonts w:hint="eastAsia" w:eastAsia="宋体" w:cs="Times New Roman"/>
          <w:b w:val="0"/>
          <w:bCs w:val="0"/>
          <w:color w:val="auto"/>
          <w:sz w:val="20"/>
          <w:szCs w:val="20"/>
          <w:highlight w:val="none"/>
          <w:lang w:val="en-GB" w:eastAsia="ja-JP" w:bidi="ar-SA"/>
        </w:rPr>
        <w:t>(</w:t>
      </w:r>
      <w:r>
        <w:rPr>
          <w:rFonts w:hint="eastAsia" w:eastAsia="宋体" w:cs="Times New Roman"/>
          <w:b w:val="0"/>
          <w:bCs w:val="0"/>
          <w:color w:val="auto"/>
          <w:sz w:val="20"/>
          <w:szCs w:val="20"/>
          <w:highlight w:val="none"/>
          <w:lang w:val="en-US" w:eastAsia="zh-CN" w:bidi="ar-SA"/>
        </w:rPr>
        <w:t xml:space="preserve">for </w:t>
      </w:r>
      <w:r>
        <w:rPr>
          <w:rFonts w:hint="eastAsia" w:eastAsia="宋体" w:cs="Times New Roman"/>
          <w:b w:val="0"/>
          <w:bCs w:val="0"/>
          <w:color w:val="auto"/>
          <w:sz w:val="20"/>
          <w:szCs w:val="20"/>
          <w:highlight w:val="none"/>
          <w:lang w:val="en-GB" w:eastAsia="ja-JP" w:bidi="ar-SA"/>
        </w:rPr>
        <w:t>2 antenna ports) / 32.5(</w:t>
      </w:r>
      <w:r>
        <w:rPr>
          <w:rFonts w:hint="eastAsia" w:eastAsia="宋体" w:cs="Times New Roman"/>
          <w:b w:val="0"/>
          <w:bCs w:val="0"/>
          <w:color w:val="auto"/>
          <w:sz w:val="20"/>
          <w:szCs w:val="20"/>
          <w:highlight w:val="none"/>
          <w:lang w:val="en-US" w:eastAsia="zh-CN" w:bidi="ar-SA"/>
        </w:rPr>
        <w:t xml:space="preserve"> for </w:t>
      </w:r>
      <w:r>
        <w:rPr>
          <w:rFonts w:hint="eastAsia" w:eastAsia="宋体" w:cs="Times New Roman"/>
          <w:b w:val="0"/>
          <w:bCs w:val="0"/>
          <w:color w:val="auto"/>
          <w:sz w:val="20"/>
          <w:szCs w:val="20"/>
          <w:highlight w:val="none"/>
          <w:lang w:val="en-GB" w:eastAsia="ja-JP" w:bidi="ar-SA"/>
        </w:rPr>
        <w:t>4 antenna ports) dBm</w:t>
      </w:r>
      <w:r>
        <w:rPr>
          <w:rFonts w:hint="eastAsia" w:eastAsia="宋体" w:cs="Times New Roman"/>
          <w:b w:val="0"/>
          <w:bCs w:val="0"/>
          <w:color w:val="auto"/>
          <w:sz w:val="20"/>
          <w:szCs w:val="20"/>
          <w:highlight w:val="none"/>
          <w:lang w:val="en-US" w:eastAsia="zh-CN" w:bidi="ar-SA"/>
        </w:rPr>
        <w:t xml:space="preserve">, which is the case of </w:t>
      </w:r>
      <w:r>
        <w:rPr>
          <w:rFonts w:hint="eastAsia" w:eastAsia="宋体" w:cs="Times New Roman"/>
          <w:b w:val="0"/>
          <w:bCs w:val="0"/>
          <w:color w:val="auto"/>
          <w:sz w:val="20"/>
          <w:szCs w:val="20"/>
          <w:highlight w:val="none"/>
          <w:lang w:val="en-GB" w:eastAsia="ja-JP" w:bidi="ar-SA"/>
        </w:rPr>
        <w:t>IMD2 for CA_n1-n77</w:t>
      </w:r>
      <w:r>
        <w:rPr>
          <w:rFonts w:hint="eastAsia" w:eastAsia="宋体" w:cs="Times New Roman"/>
          <w:b w:val="0"/>
          <w:bCs w:val="0"/>
          <w:color w:val="auto"/>
          <w:sz w:val="20"/>
          <w:szCs w:val="20"/>
          <w:highlight w:val="none"/>
          <w:lang w:val="en-US" w:eastAsia="zh-CN" w:bidi="ar-SA"/>
        </w:rPr>
        <w:t xml:space="preserve"> combination. (23.9dBm harmonic MSD for </w:t>
      </w:r>
      <w:r>
        <w:rPr>
          <w:rFonts w:hint="eastAsia" w:eastAsia="宋体" w:cs="Times New Roman"/>
          <w:b w:val="0"/>
          <w:bCs w:val="0"/>
          <w:color w:val="auto"/>
          <w:sz w:val="20"/>
          <w:szCs w:val="20"/>
          <w:highlight w:val="none"/>
          <w:lang w:val="en-GB" w:eastAsia="ja-JP" w:bidi="ar-SA"/>
        </w:rPr>
        <w:t>CA_n1-n77</w:t>
      </w:r>
      <w:r>
        <w:rPr>
          <w:rFonts w:hint="eastAsia" w:eastAsia="宋体" w:cs="Times New Roman"/>
          <w:b w:val="0"/>
          <w:bCs w:val="0"/>
          <w:color w:val="auto"/>
          <w:sz w:val="20"/>
          <w:szCs w:val="20"/>
          <w:highlight w:val="none"/>
          <w:lang w:val="en-US" w:eastAsia="zh-CN" w:bidi="ar-SA"/>
        </w:rPr>
        <w:t>)</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Therefore, if it is indeed to defined the MSD threshold, we think the value should be larger than the above values since the capability cannot be affected by this threshold. So far it is unclear whether or not different threshold values are defined for different types of MSD (i.e. harmonic or IMD,..) , but for the same band combination, only one threshold value is reasonable.</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ja-JP" w:bidi="ar-SA"/>
        </w:rPr>
        <w:t xml:space="preserve">The threshold </w:t>
      </w:r>
      <w:r>
        <w:rPr>
          <w:rFonts w:hint="eastAsia" w:eastAsia="宋体" w:cs="Times New Roman"/>
          <w:b/>
          <w:bCs/>
          <w:color w:val="auto"/>
          <w:sz w:val="20"/>
          <w:szCs w:val="20"/>
          <w:highlight w:val="none"/>
          <w:lang w:val="en-US" w:eastAsia="zh-CN" w:bidi="ar-SA"/>
        </w:rPr>
        <w:t xml:space="preserve">value </w:t>
      </w:r>
      <w:r>
        <w:rPr>
          <w:rFonts w:hint="eastAsia" w:eastAsia="宋体" w:cs="Times New Roman"/>
          <w:b/>
          <w:bCs/>
          <w:color w:val="auto"/>
          <w:sz w:val="20"/>
          <w:szCs w:val="20"/>
          <w:highlight w:val="none"/>
          <w:lang w:val="en-US" w:eastAsia="ja-JP" w:bidi="ar-SA"/>
        </w:rPr>
        <w:t xml:space="preserve">should be higher than 32.5dBm.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eastAsia="宋体" w:cs="Times New Roman"/>
          <w:i w:val="0"/>
          <w:iCs w:val="0"/>
          <w:color w:val="auto"/>
          <w:sz w:val="20"/>
          <w:szCs w:val="20"/>
          <w:highlight w:val="none"/>
          <w:lang w:val="en-US" w:eastAsia="zh-CN" w:bidi="ar-SA"/>
        </w:rPr>
        <w:t xml:space="preserve">we give some discussion on the MSD threshold value for </w:t>
      </w:r>
      <w:r>
        <w:rPr>
          <w:rFonts w:hint="default" w:cs="Times New Roman"/>
          <w:b w:val="0"/>
          <w:bCs/>
          <w:color w:val="auto"/>
          <w:sz w:val="20"/>
          <w:szCs w:val="20"/>
          <w:lang w:val="en-US" w:eastAsia="zh-CN"/>
        </w:rPr>
        <w:t>FR1+FR1 FDD-TDD band combination</w:t>
      </w:r>
      <w:r>
        <w:rPr>
          <w:rFonts w:hint="eastAsia" w:cs="Times New Roman"/>
          <w:b w:val="0"/>
          <w:bCs/>
          <w:color w:val="auto"/>
          <w:sz w:val="20"/>
          <w:szCs w:val="20"/>
          <w:lang w:val="en-US" w:eastAsia="zh-CN"/>
        </w:rPr>
        <w:t xml:space="preserve"> supporting s</w:t>
      </w:r>
      <w:r>
        <w:rPr>
          <w:rFonts w:hint="default" w:cs="Times New Roman"/>
          <w:b w:val="0"/>
          <w:bCs/>
          <w:color w:val="auto"/>
          <w:sz w:val="20"/>
          <w:szCs w:val="20"/>
          <w:lang w:val="en-US" w:eastAsia="zh-CN"/>
        </w:rPr>
        <w:t>imultaneous Rx/Tx capability</w:t>
      </w:r>
      <w:r>
        <w:rPr>
          <w:rFonts w:hint="eastAsia" w:cs="Times New Roman"/>
          <w:b w:val="0"/>
          <w:bCs/>
          <w:color w:val="auto"/>
          <w:sz w:val="20"/>
          <w:szCs w:val="20"/>
          <w:lang w:val="en-US" w:eastAsia="zh-CN"/>
        </w:rPr>
        <w:t>. The conclusion are:</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For a FDD-TDD inter-band NR CA band combination, inter-band NR CA operation can not workable if s</w:t>
      </w:r>
      <w:r>
        <w:rPr>
          <w:rFonts w:hint="default" w:eastAsia="宋体" w:cs="Times New Roman"/>
          <w:b/>
          <w:bCs/>
          <w:color w:val="auto"/>
          <w:sz w:val="20"/>
          <w:szCs w:val="20"/>
          <w:highlight w:val="none"/>
          <w:lang w:val="en-US" w:eastAsia="zh-CN" w:bidi="ar-SA"/>
        </w:rPr>
        <w:t>imultaneous Rx/Tx</w:t>
      </w:r>
      <w:r>
        <w:rPr>
          <w:rFonts w:hint="eastAsia" w:eastAsia="宋体" w:cs="Times New Roman"/>
          <w:b/>
          <w:bCs/>
          <w:color w:val="auto"/>
          <w:sz w:val="20"/>
          <w:szCs w:val="20"/>
          <w:highlight w:val="none"/>
          <w:lang w:val="en-US" w:eastAsia="zh-CN" w:bidi="ar-SA"/>
        </w:rPr>
        <w:t xml:space="preserve"> operation is not supported.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Due to </w:t>
      </w:r>
      <w:r>
        <w:rPr>
          <w:rFonts w:hint="eastAsia" w:eastAsia="宋体" w:cs="Times New Roman"/>
          <w:b/>
          <w:bCs/>
          <w:color w:val="auto"/>
          <w:sz w:val="20"/>
          <w:szCs w:val="20"/>
          <w:highlight w:val="none"/>
          <w:lang w:val="en-US" w:eastAsia="ko-KR" w:bidi="ar-SA"/>
        </w:rPr>
        <w:t>actual MSD can be 20 dB or more better than the MSD in the specs</w:t>
      </w:r>
      <w:r>
        <w:rPr>
          <w:rFonts w:hint="eastAsia" w:eastAsia="宋体" w:cs="Times New Roman"/>
          <w:b/>
          <w:bCs/>
          <w:color w:val="auto"/>
          <w:sz w:val="20"/>
          <w:szCs w:val="20"/>
          <w:highlight w:val="none"/>
          <w:lang w:val="en-US" w:eastAsia="zh-CN" w:bidi="ar-SA"/>
        </w:rPr>
        <w:t>, actual MSD could be smaller than the threshold in case of the MSD defined in the spec larger than the MSD threshold.</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performance would be affected if changing the s</w:t>
      </w:r>
      <w:r>
        <w:rPr>
          <w:rFonts w:hint="default" w:eastAsia="宋体" w:cs="Times New Roman"/>
          <w:b/>
          <w:bCs/>
          <w:color w:val="auto"/>
          <w:sz w:val="20"/>
          <w:szCs w:val="20"/>
          <w:highlight w:val="none"/>
          <w:lang w:val="en-US" w:eastAsia="zh-CN" w:bidi="ar-SA"/>
        </w:rPr>
        <w:t>imultaneous Rx/Tx capability</w:t>
      </w:r>
      <w:r>
        <w:rPr>
          <w:rFonts w:hint="eastAsia" w:eastAsia="宋体" w:cs="Times New Roman"/>
          <w:b/>
          <w:bCs/>
          <w:color w:val="auto"/>
          <w:sz w:val="20"/>
          <w:szCs w:val="20"/>
          <w:highlight w:val="none"/>
          <w:lang w:val="en-US" w:eastAsia="zh-CN" w:bidi="ar-SA"/>
        </w:rPr>
        <w:t xml:space="preserve"> from </w:t>
      </w:r>
      <w:r>
        <w:rPr>
          <w:rFonts w:hint="default" w:eastAsia="宋体" w:cs="Times New Roman"/>
          <w:b/>
          <w:bCs/>
          <w:color w:val="auto"/>
          <w:sz w:val="20"/>
          <w:szCs w:val="20"/>
          <w:highlight w:val="none"/>
          <w:lang w:val="en-US" w:eastAsia="en-US" w:bidi="ar-SA"/>
        </w:rPr>
        <w:t xml:space="preserve">mandatory </w:t>
      </w:r>
      <w:r>
        <w:rPr>
          <w:rFonts w:hint="eastAsia" w:eastAsia="宋体" w:cs="Times New Roman"/>
          <w:b/>
          <w:bCs/>
          <w:color w:val="auto"/>
          <w:sz w:val="20"/>
          <w:szCs w:val="20"/>
          <w:highlight w:val="none"/>
          <w:lang w:val="en-US" w:eastAsia="zh-CN" w:bidi="ar-SA"/>
        </w:rPr>
        <w:t xml:space="preserve">to </w:t>
      </w:r>
      <w:r>
        <w:rPr>
          <w:rFonts w:hint="default" w:eastAsia="宋体" w:cs="Times New Roman"/>
          <w:b/>
          <w:bCs/>
          <w:color w:val="auto"/>
          <w:sz w:val="20"/>
          <w:szCs w:val="20"/>
          <w:highlight w:val="none"/>
          <w:lang w:val="en-US" w:eastAsia="zh-CN" w:bidi="ar-SA"/>
        </w:rPr>
        <w:t>optional</w:t>
      </w:r>
      <w:r>
        <w:rPr>
          <w:rFonts w:hint="eastAsia" w:eastAsia="宋体" w:cs="Times New Roman"/>
          <w:b/>
          <w:bCs/>
          <w:color w:val="auto"/>
          <w:sz w:val="20"/>
          <w:szCs w:val="20"/>
          <w:highlight w:val="none"/>
          <w:lang w:val="en-US" w:eastAsia="zh-CN" w:bidi="ar-SA"/>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ja-JP" w:bidi="ar-SA"/>
        </w:rPr>
        <w:t xml:space="preserve">The threshold </w:t>
      </w:r>
      <w:r>
        <w:rPr>
          <w:rFonts w:hint="eastAsia" w:eastAsia="宋体" w:cs="Times New Roman"/>
          <w:b/>
          <w:bCs/>
          <w:color w:val="auto"/>
          <w:sz w:val="20"/>
          <w:szCs w:val="20"/>
          <w:highlight w:val="none"/>
          <w:lang w:val="en-US" w:eastAsia="zh-CN" w:bidi="ar-SA"/>
        </w:rPr>
        <w:t xml:space="preserve">value </w:t>
      </w:r>
      <w:r>
        <w:rPr>
          <w:rFonts w:hint="eastAsia" w:eastAsia="宋体" w:cs="Times New Roman"/>
          <w:b/>
          <w:bCs/>
          <w:color w:val="auto"/>
          <w:sz w:val="20"/>
          <w:szCs w:val="20"/>
          <w:highlight w:val="none"/>
          <w:lang w:val="en-US" w:eastAsia="ja-JP" w:bidi="ar-SA"/>
        </w:rPr>
        <w:t xml:space="preserve">should be higher than 32.5dBm.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val="0"/>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zh-CN"/>
        </w:rPr>
      </w:pPr>
      <w:r>
        <w:rPr>
          <w:rFonts w:hint="default" w:eastAsia="宋体" w:cs="Times New Roman"/>
          <w:b w:val="0"/>
          <w:bCs w:val="0"/>
          <w:color w:val="auto"/>
          <w:sz w:val="20"/>
          <w:szCs w:val="20"/>
          <w:highlight w:val="none"/>
          <w:lang w:val="en-US" w:eastAsia="zh-CN"/>
        </w:rPr>
        <w:t xml:space="preserve">[1] </w:t>
      </w:r>
      <w:r>
        <w:rPr>
          <w:rFonts w:hint="eastAsia" w:eastAsia="宋体" w:cs="Times New Roman"/>
          <w:b w:val="0"/>
          <w:bCs w:val="0"/>
          <w:color w:val="auto"/>
          <w:sz w:val="20"/>
          <w:szCs w:val="20"/>
          <w:highlight w:val="none"/>
          <w:lang w:val="en-US" w:eastAsia="zh-CN"/>
        </w:rPr>
        <w:t xml:space="preserve"> R4-2114946, WF on Simultaneous Rx/Tx, Huawei..</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[2]  R4-2111492, </w:t>
      </w:r>
      <w:r>
        <w:rPr>
          <w:rFonts w:hint="eastAsia" w:eastAsia="宋体" w:cs="Times New Roman"/>
          <w:b w:val="0"/>
          <w:bCs w:val="0"/>
          <w:color w:val="auto"/>
          <w:sz w:val="20"/>
          <w:szCs w:val="20"/>
          <w:highlight w:val="none"/>
          <w:lang w:val="en-US" w:eastAsia="ja-JP"/>
        </w:rPr>
        <w:t>MSD and real-world implications</w:t>
      </w:r>
      <w:r>
        <w:rPr>
          <w:rFonts w:hint="eastAsia"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ja-JP"/>
        </w:rPr>
        <w:t>T-Mobile USA</w:t>
      </w:r>
      <w:r>
        <w:rPr>
          <w:rFonts w:hint="eastAsia" w:eastAsia="宋体" w:cs="Times New Roman"/>
          <w:b w:val="0"/>
          <w:bCs w:val="0"/>
          <w:color w:val="auto"/>
          <w:sz w:val="20"/>
          <w:szCs w:val="20"/>
          <w:highlight w:val="none"/>
          <w:lang w:val="en-US" w:eastAsia="zh-CN"/>
        </w:rPr>
        <w:t>, etc.</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[3] </w:t>
      </w:r>
      <w:r>
        <w:rPr>
          <w:rFonts w:hint="eastAsia" w:eastAsia="宋体" w:cs="Times New Roman"/>
          <w:b w:val="0"/>
          <w:bCs w:val="0"/>
          <w:color w:val="auto"/>
          <w:sz w:val="20"/>
          <w:szCs w:val="20"/>
          <w:highlight w:val="none"/>
          <w:lang w:val="en-US" w:eastAsia="ja-JP"/>
        </w:rPr>
        <w:t>R4-2114516</w:t>
      </w:r>
      <w:r>
        <w:rPr>
          <w:rFonts w:hint="eastAsia"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ja-JP"/>
        </w:rPr>
        <w:t>TP for TR 38.839: Principles for simultaneous Rx/Tx capability</w:t>
      </w:r>
      <w:r>
        <w:rPr>
          <w:rFonts w:hint="eastAsia" w:eastAsia="宋体" w:cs="Times New Roman"/>
          <w:b w:val="0"/>
          <w:bCs w:val="0"/>
          <w:color w:val="auto"/>
          <w:sz w:val="20"/>
          <w:szCs w:val="20"/>
          <w:highlight w:val="none"/>
          <w:lang w:val="en-US" w:eastAsia="zh-CN"/>
        </w:rPr>
        <w:t>, Huawei..</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ja-JP"/>
        </w:rPr>
        <w:tab/>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ＭＳ 明朝">
    <w:altName w:val="Yu Gothic UI"/>
    <w:panose1 w:val="02020609040205080304"/>
    <w:charset w:val="80"/>
    <w:family w:val="roman"/>
    <w:pitch w:val="default"/>
    <w:sig w:usb0="00000000" w:usb1="00000000"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0316170"/>
    <w:multiLevelType w:val="multilevel"/>
    <w:tmpl w:val="40316170"/>
    <w:lvl w:ilvl="0" w:tentative="0">
      <w:start w:val="6"/>
      <w:numFmt w:val="bullet"/>
      <w:lvlText w:val="-"/>
      <w:lvlJc w:val="left"/>
      <w:pPr>
        <w:ind w:left="644" w:hanging="360"/>
      </w:pPr>
      <w:rPr>
        <w:rFonts w:hint="default" w:ascii="Times New Roman" w:hAnsi="Times New Roman" w:eastAsia="Malgun Gothic"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8"/>
  </w:num>
  <w:num w:numId="7">
    <w:abstractNumId w:val="10"/>
  </w:num>
  <w:num w:numId="8">
    <w:abstractNumId w:val="12"/>
  </w:num>
  <w:num w:numId="9">
    <w:abstractNumId w:val="6"/>
  </w:num>
  <w:num w:numId="10">
    <w:abstractNumId w:val="7"/>
  </w:num>
  <w:num w:numId="11">
    <w:abstractNumId w:val="4"/>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5C7A"/>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987"/>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6E7005"/>
    <w:rsid w:val="01711B9C"/>
    <w:rsid w:val="017A6282"/>
    <w:rsid w:val="017D283D"/>
    <w:rsid w:val="0182061C"/>
    <w:rsid w:val="01836D6F"/>
    <w:rsid w:val="018457F2"/>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73F0F"/>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D2CB9"/>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6155E"/>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2F4EFA"/>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57D25"/>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00B78"/>
    <w:rsid w:val="07350CA3"/>
    <w:rsid w:val="07392E0B"/>
    <w:rsid w:val="073B0379"/>
    <w:rsid w:val="073B271F"/>
    <w:rsid w:val="073F1FDF"/>
    <w:rsid w:val="07447DDE"/>
    <w:rsid w:val="0747535D"/>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0086E"/>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A381B"/>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2349"/>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23A91"/>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12632"/>
    <w:rsid w:val="0AB2374D"/>
    <w:rsid w:val="0ABB622B"/>
    <w:rsid w:val="0ABD2945"/>
    <w:rsid w:val="0ABD5EB4"/>
    <w:rsid w:val="0ABE01DC"/>
    <w:rsid w:val="0ABE659D"/>
    <w:rsid w:val="0ABF0D2C"/>
    <w:rsid w:val="0ABF214E"/>
    <w:rsid w:val="0AC01B30"/>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240D76"/>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246CD"/>
    <w:rsid w:val="0B7E5B00"/>
    <w:rsid w:val="0B8650E8"/>
    <w:rsid w:val="0B871FAA"/>
    <w:rsid w:val="0B940F71"/>
    <w:rsid w:val="0B9B08AA"/>
    <w:rsid w:val="0B9B3F6E"/>
    <w:rsid w:val="0B9C5B24"/>
    <w:rsid w:val="0B9F136F"/>
    <w:rsid w:val="0BA4493F"/>
    <w:rsid w:val="0BA93A36"/>
    <w:rsid w:val="0BA94B42"/>
    <w:rsid w:val="0BAC7903"/>
    <w:rsid w:val="0BAF2D3E"/>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E65936"/>
    <w:rsid w:val="0CFE632A"/>
    <w:rsid w:val="0D010B97"/>
    <w:rsid w:val="0D047114"/>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03B06"/>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374A"/>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B7FE0"/>
    <w:rsid w:val="0E2E2266"/>
    <w:rsid w:val="0E304A7F"/>
    <w:rsid w:val="0E317799"/>
    <w:rsid w:val="0E331BB8"/>
    <w:rsid w:val="0E3448A4"/>
    <w:rsid w:val="0E373E96"/>
    <w:rsid w:val="0E386486"/>
    <w:rsid w:val="0E3E1DC2"/>
    <w:rsid w:val="0E413C17"/>
    <w:rsid w:val="0E4D1CC0"/>
    <w:rsid w:val="0E546C25"/>
    <w:rsid w:val="0E5733FF"/>
    <w:rsid w:val="0E573BA8"/>
    <w:rsid w:val="0E574DCD"/>
    <w:rsid w:val="0E601A39"/>
    <w:rsid w:val="0E636E0B"/>
    <w:rsid w:val="0E6415F1"/>
    <w:rsid w:val="0E68251E"/>
    <w:rsid w:val="0E6A1083"/>
    <w:rsid w:val="0E73084B"/>
    <w:rsid w:val="0E7679FE"/>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167E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76639"/>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DC049D"/>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358D8"/>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A07D6"/>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4E711B"/>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00817"/>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64156"/>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B6286"/>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2D5EF3"/>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5094B"/>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7191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10C62"/>
    <w:rsid w:val="18564BD0"/>
    <w:rsid w:val="185668C4"/>
    <w:rsid w:val="185B771D"/>
    <w:rsid w:val="186216DB"/>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311C0"/>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B532E"/>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5455"/>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C69D2"/>
    <w:rsid w:val="1C2E4B85"/>
    <w:rsid w:val="1C396428"/>
    <w:rsid w:val="1C3B0B57"/>
    <w:rsid w:val="1C3B190C"/>
    <w:rsid w:val="1C4412A9"/>
    <w:rsid w:val="1C4A0EAE"/>
    <w:rsid w:val="1C4C5610"/>
    <w:rsid w:val="1C4C6669"/>
    <w:rsid w:val="1C5039DB"/>
    <w:rsid w:val="1C505A77"/>
    <w:rsid w:val="1C525262"/>
    <w:rsid w:val="1C545829"/>
    <w:rsid w:val="1C586C59"/>
    <w:rsid w:val="1C637AF2"/>
    <w:rsid w:val="1C672C20"/>
    <w:rsid w:val="1C69538F"/>
    <w:rsid w:val="1C6B4846"/>
    <w:rsid w:val="1C704DD8"/>
    <w:rsid w:val="1C727B26"/>
    <w:rsid w:val="1C731E0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B6DA5"/>
    <w:rsid w:val="1CBF61DA"/>
    <w:rsid w:val="1CC47480"/>
    <w:rsid w:val="1CC628BB"/>
    <w:rsid w:val="1CD00CD6"/>
    <w:rsid w:val="1CD51947"/>
    <w:rsid w:val="1CDD29AB"/>
    <w:rsid w:val="1CDD2C02"/>
    <w:rsid w:val="1CDF6E20"/>
    <w:rsid w:val="1CE169B4"/>
    <w:rsid w:val="1CEB1CBD"/>
    <w:rsid w:val="1CF075BE"/>
    <w:rsid w:val="1CF13104"/>
    <w:rsid w:val="1CF67401"/>
    <w:rsid w:val="1CF95B34"/>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B1004"/>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0885"/>
    <w:rsid w:val="1D945A29"/>
    <w:rsid w:val="1D9D3E81"/>
    <w:rsid w:val="1DA22D6E"/>
    <w:rsid w:val="1DA230E1"/>
    <w:rsid w:val="1DA46EAD"/>
    <w:rsid w:val="1DA632D9"/>
    <w:rsid w:val="1DAF043C"/>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40A48"/>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A7068"/>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327D1"/>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202D"/>
    <w:rsid w:val="20C46F8C"/>
    <w:rsid w:val="20C776A9"/>
    <w:rsid w:val="20C923C2"/>
    <w:rsid w:val="20D45236"/>
    <w:rsid w:val="20D45CC6"/>
    <w:rsid w:val="20D47CF1"/>
    <w:rsid w:val="20D67A4F"/>
    <w:rsid w:val="20DE0375"/>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E56E5"/>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8352D"/>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6C64D5"/>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44079"/>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3D86"/>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B676D"/>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AF1EA1"/>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71FEE"/>
    <w:rsid w:val="264C0C16"/>
    <w:rsid w:val="265C2166"/>
    <w:rsid w:val="265F0BFF"/>
    <w:rsid w:val="26625219"/>
    <w:rsid w:val="26634A69"/>
    <w:rsid w:val="266403D3"/>
    <w:rsid w:val="266741FA"/>
    <w:rsid w:val="266D7F76"/>
    <w:rsid w:val="266E417D"/>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C1A76"/>
    <w:rsid w:val="27BF2614"/>
    <w:rsid w:val="27C66B41"/>
    <w:rsid w:val="27DA480B"/>
    <w:rsid w:val="27E320C6"/>
    <w:rsid w:val="27E61965"/>
    <w:rsid w:val="27ED6AD3"/>
    <w:rsid w:val="27EE2436"/>
    <w:rsid w:val="27EE3EA1"/>
    <w:rsid w:val="27F01B7B"/>
    <w:rsid w:val="27F5638A"/>
    <w:rsid w:val="27F62CE4"/>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E2162"/>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7540B"/>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BF1931"/>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17D19"/>
    <w:rsid w:val="2AAB728D"/>
    <w:rsid w:val="2AAE4E4C"/>
    <w:rsid w:val="2AB17467"/>
    <w:rsid w:val="2AB4686A"/>
    <w:rsid w:val="2AB55B2E"/>
    <w:rsid w:val="2ABD0762"/>
    <w:rsid w:val="2AC12114"/>
    <w:rsid w:val="2AC96933"/>
    <w:rsid w:val="2AC97AB6"/>
    <w:rsid w:val="2AD03C7C"/>
    <w:rsid w:val="2AD408B6"/>
    <w:rsid w:val="2ADB3425"/>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2F74"/>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DD48C8"/>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2546F"/>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C93C0B"/>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34553"/>
    <w:rsid w:val="31C91010"/>
    <w:rsid w:val="31C93678"/>
    <w:rsid w:val="31CE242D"/>
    <w:rsid w:val="31CF1F54"/>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5E2E95"/>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D1DAE"/>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05021"/>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A4274"/>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8517F"/>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55179"/>
    <w:rsid w:val="354968F6"/>
    <w:rsid w:val="35515024"/>
    <w:rsid w:val="35523D07"/>
    <w:rsid w:val="3555395C"/>
    <w:rsid w:val="355C4283"/>
    <w:rsid w:val="355C7676"/>
    <w:rsid w:val="35610626"/>
    <w:rsid w:val="35625D72"/>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10756"/>
    <w:rsid w:val="35D229D8"/>
    <w:rsid w:val="35D22AB1"/>
    <w:rsid w:val="35D61974"/>
    <w:rsid w:val="35D91BC5"/>
    <w:rsid w:val="35DA08B2"/>
    <w:rsid w:val="35DC07B2"/>
    <w:rsid w:val="35E569D0"/>
    <w:rsid w:val="35E91D94"/>
    <w:rsid w:val="35EF3862"/>
    <w:rsid w:val="35F64CDE"/>
    <w:rsid w:val="35F777CB"/>
    <w:rsid w:val="35FD54A1"/>
    <w:rsid w:val="36057172"/>
    <w:rsid w:val="36062003"/>
    <w:rsid w:val="36075703"/>
    <w:rsid w:val="3613299B"/>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07F2E"/>
    <w:rsid w:val="369464A6"/>
    <w:rsid w:val="36985ABF"/>
    <w:rsid w:val="36991D1F"/>
    <w:rsid w:val="369952E9"/>
    <w:rsid w:val="369B322E"/>
    <w:rsid w:val="36A80BF8"/>
    <w:rsid w:val="36AA260C"/>
    <w:rsid w:val="36AC07F0"/>
    <w:rsid w:val="36B074A1"/>
    <w:rsid w:val="36B67671"/>
    <w:rsid w:val="36B83DA7"/>
    <w:rsid w:val="36B85A7D"/>
    <w:rsid w:val="36B92315"/>
    <w:rsid w:val="36BB013A"/>
    <w:rsid w:val="36BC4B08"/>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0B5910"/>
    <w:rsid w:val="37110637"/>
    <w:rsid w:val="37116838"/>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97B9E"/>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DA0872"/>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5407D"/>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53D51"/>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26156"/>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25A5C"/>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61177"/>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B6098"/>
    <w:rsid w:val="3CAC05B5"/>
    <w:rsid w:val="3CAE61AF"/>
    <w:rsid w:val="3CB02A6B"/>
    <w:rsid w:val="3CB44001"/>
    <w:rsid w:val="3CB51796"/>
    <w:rsid w:val="3CBD6D74"/>
    <w:rsid w:val="3CBF58EB"/>
    <w:rsid w:val="3CC13333"/>
    <w:rsid w:val="3CC14908"/>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7213F"/>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86034"/>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45636"/>
    <w:rsid w:val="41390A07"/>
    <w:rsid w:val="413F5188"/>
    <w:rsid w:val="414277A8"/>
    <w:rsid w:val="41481855"/>
    <w:rsid w:val="414B3AA2"/>
    <w:rsid w:val="41502926"/>
    <w:rsid w:val="41513189"/>
    <w:rsid w:val="41622BA0"/>
    <w:rsid w:val="41674EE9"/>
    <w:rsid w:val="416F1646"/>
    <w:rsid w:val="41750E83"/>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9D6180"/>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C018F2"/>
    <w:rsid w:val="42D2076D"/>
    <w:rsid w:val="42D849EE"/>
    <w:rsid w:val="42DB4E85"/>
    <w:rsid w:val="42DC3029"/>
    <w:rsid w:val="42DC5A8C"/>
    <w:rsid w:val="42DC7F7C"/>
    <w:rsid w:val="42DD0067"/>
    <w:rsid w:val="42DD5EC9"/>
    <w:rsid w:val="42E17373"/>
    <w:rsid w:val="42E502F5"/>
    <w:rsid w:val="42E87402"/>
    <w:rsid w:val="42EB6D52"/>
    <w:rsid w:val="42EC6838"/>
    <w:rsid w:val="42EF1F4E"/>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2F7E03"/>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3489"/>
    <w:rsid w:val="4365525D"/>
    <w:rsid w:val="43695BEA"/>
    <w:rsid w:val="436971F6"/>
    <w:rsid w:val="436D13EF"/>
    <w:rsid w:val="436E482F"/>
    <w:rsid w:val="43702F2E"/>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C4C39"/>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55B20"/>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73FC8"/>
    <w:rsid w:val="461D51B5"/>
    <w:rsid w:val="46215835"/>
    <w:rsid w:val="46300ECC"/>
    <w:rsid w:val="46333D16"/>
    <w:rsid w:val="46340BB8"/>
    <w:rsid w:val="463831CA"/>
    <w:rsid w:val="463A512E"/>
    <w:rsid w:val="46472534"/>
    <w:rsid w:val="464B1BCE"/>
    <w:rsid w:val="464C3AE3"/>
    <w:rsid w:val="4658627E"/>
    <w:rsid w:val="465A3C55"/>
    <w:rsid w:val="465E45BA"/>
    <w:rsid w:val="465E4A48"/>
    <w:rsid w:val="46601C9C"/>
    <w:rsid w:val="4662710B"/>
    <w:rsid w:val="466615E3"/>
    <w:rsid w:val="4667262E"/>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12267"/>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41323"/>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04DC5"/>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34DE3"/>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14EC4"/>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CF7127"/>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6B0A2C"/>
    <w:rsid w:val="4E7022FE"/>
    <w:rsid w:val="4E710D95"/>
    <w:rsid w:val="4E731F85"/>
    <w:rsid w:val="4E807A2E"/>
    <w:rsid w:val="4E881394"/>
    <w:rsid w:val="4E893F39"/>
    <w:rsid w:val="4E8B797D"/>
    <w:rsid w:val="4E8D6DC1"/>
    <w:rsid w:val="4E8D7BB3"/>
    <w:rsid w:val="4E97761A"/>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AE3"/>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12B72"/>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5838"/>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559E1"/>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682006"/>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525A9"/>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5D4202"/>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48F2"/>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C78CE"/>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C280F"/>
    <w:rsid w:val="562E3095"/>
    <w:rsid w:val="56367202"/>
    <w:rsid w:val="56396645"/>
    <w:rsid w:val="563C5D74"/>
    <w:rsid w:val="563D2303"/>
    <w:rsid w:val="563D4E7F"/>
    <w:rsid w:val="56416CC2"/>
    <w:rsid w:val="56490EFC"/>
    <w:rsid w:val="564E1154"/>
    <w:rsid w:val="565209A5"/>
    <w:rsid w:val="56521C2B"/>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A81C97"/>
    <w:rsid w:val="56B91E4B"/>
    <w:rsid w:val="56BA155E"/>
    <w:rsid w:val="56BD1AE8"/>
    <w:rsid w:val="56BF5743"/>
    <w:rsid w:val="56C27DE2"/>
    <w:rsid w:val="56C349BD"/>
    <w:rsid w:val="56C40E49"/>
    <w:rsid w:val="56C4498B"/>
    <w:rsid w:val="56CB221F"/>
    <w:rsid w:val="56CC6FA0"/>
    <w:rsid w:val="56CE502E"/>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87D3A"/>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071F4"/>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9673C"/>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67085"/>
    <w:rsid w:val="59AA1BC7"/>
    <w:rsid w:val="59BE429B"/>
    <w:rsid w:val="59BE77FA"/>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00FE3"/>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BBE"/>
    <w:rsid w:val="5B650C24"/>
    <w:rsid w:val="5B653D38"/>
    <w:rsid w:val="5B6C1370"/>
    <w:rsid w:val="5B700C48"/>
    <w:rsid w:val="5B723A2E"/>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2A6C"/>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925CE0"/>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31BA6"/>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4D9B"/>
    <w:rsid w:val="5DC56933"/>
    <w:rsid w:val="5DC8549E"/>
    <w:rsid w:val="5DCB48AF"/>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61895"/>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26268"/>
    <w:rsid w:val="5F456860"/>
    <w:rsid w:val="5F4D5E87"/>
    <w:rsid w:val="5F561440"/>
    <w:rsid w:val="5F565D66"/>
    <w:rsid w:val="5F5A6C52"/>
    <w:rsid w:val="5F5F628D"/>
    <w:rsid w:val="5F5F7F0F"/>
    <w:rsid w:val="5F615247"/>
    <w:rsid w:val="5F635381"/>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33F58"/>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C73C4"/>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71F4B"/>
    <w:rsid w:val="61BD0FD1"/>
    <w:rsid w:val="61C63667"/>
    <w:rsid w:val="61C87A05"/>
    <w:rsid w:val="61CA1D42"/>
    <w:rsid w:val="61CA5E86"/>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2483A"/>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21B04"/>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87653"/>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11DCC"/>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6E2C11"/>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14984"/>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EC6872"/>
    <w:rsid w:val="6BF04529"/>
    <w:rsid w:val="6BF112D7"/>
    <w:rsid w:val="6BF36866"/>
    <w:rsid w:val="6BF40ECE"/>
    <w:rsid w:val="6BFB7A6D"/>
    <w:rsid w:val="6C005268"/>
    <w:rsid w:val="6C051A87"/>
    <w:rsid w:val="6C0738DF"/>
    <w:rsid w:val="6C0B1C8D"/>
    <w:rsid w:val="6C114F25"/>
    <w:rsid w:val="6C135C05"/>
    <w:rsid w:val="6C136E46"/>
    <w:rsid w:val="6C1A0FF1"/>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CFC64AB"/>
    <w:rsid w:val="6D052816"/>
    <w:rsid w:val="6D070F6E"/>
    <w:rsid w:val="6D0E0DEF"/>
    <w:rsid w:val="6D116339"/>
    <w:rsid w:val="6D1C0D1C"/>
    <w:rsid w:val="6D23170F"/>
    <w:rsid w:val="6D253611"/>
    <w:rsid w:val="6D330BE7"/>
    <w:rsid w:val="6D3326A9"/>
    <w:rsid w:val="6D372F0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0A68"/>
    <w:rsid w:val="6D563FDC"/>
    <w:rsid w:val="6D5A2C9B"/>
    <w:rsid w:val="6D5E0B4C"/>
    <w:rsid w:val="6D5E1190"/>
    <w:rsid w:val="6D611D78"/>
    <w:rsid w:val="6D6135F4"/>
    <w:rsid w:val="6D644AC3"/>
    <w:rsid w:val="6D661353"/>
    <w:rsid w:val="6D6855B3"/>
    <w:rsid w:val="6D6C1597"/>
    <w:rsid w:val="6D6E7693"/>
    <w:rsid w:val="6D702EBB"/>
    <w:rsid w:val="6D7302DF"/>
    <w:rsid w:val="6D803B8E"/>
    <w:rsid w:val="6D804AB6"/>
    <w:rsid w:val="6D8051E1"/>
    <w:rsid w:val="6D8145D1"/>
    <w:rsid w:val="6D834E2B"/>
    <w:rsid w:val="6D84000B"/>
    <w:rsid w:val="6D8D2542"/>
    <w:rsid w:val="6D8F0737"/>
    <w:rsid w:val="6D91032E"/>
    <w:rsid w:val="6D977C47"/>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A4B01"/>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8C0B9D"/>
    <w:rsid w:val="6E903A92"/>
    <w:rsid w:val="6E912F38"/>
    <w:rsid w:val="6E921DA1"/>
    <w:rsid w:val="6E940B04"/>
    <w:rsid w:val="6E965300"/>
    <w:rsid w:val="6E987817"/>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D025A"/>
    <w:rsid w:val="6ECE3DBA"/>
    <w:rsid w:val="6ED61AEF"/>
    <w:rsid w:val="6ED673DE"/>
    <w:rsid w:val="6ED77BF9"/>
    <w:rsid w:val="6ED96A02"/>
    <w:rsid w:val="6EDC7E1D"/>
    <w:rsid w:val="6EEA4297"/>
    <w:rsid w:val="6EEB36AF"/>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43BD2"/>
    <w:rsid w:val="6F8614D2"/>
    <w:rsid w:val="6F897F4B"/>
    <w:rsid w:val="6F8C5AA5"/>
    <w:rsid w:val="6F8F537D"/>
    <w:rsid w:val="6F94219D"/>
    <w:rsid w:val="6F9B34F3"/>
    <w:rsid w:val="6FA274A1"/>
    <w:rsid w:val="6FA32C4E"/>
    <w:rsid w:val="6FA742BB"/>
    <w:rsid w:val="6FA86845"/>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DE63BC"/>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53FD3"/>
    <w:rsid w:val="70BD1E0E"/>
    <w:rsid w:val="70BE26CE"/>
    <w:rsid w:val="70BE3E5A"/>
    <w:rsid w:val="70C82067"/>
    <w:rsid w:val="70CA0E91"/>
    <w:rsid w:val="70CC567E"/>
    <w:rsid w:val="70CD0FF4"/>
    <w:rsid w:val="70CD4D3D"/>
    <w:rsid w:val="70D33A04"/>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747A8"/>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51FDC"/>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821891"/>
    <w:rsid w:val="73967A00"/>
    <w:rsid w:val="739C30BC"/>
    <w:rsid w:val="73A44B88"/>
    <w:rsid w:val="73AC4F28"/>
    <w:rsid w:val="73AF6D73"/>
    <w:rsid w:val="73B075D1"/>
    <w:rsid w:val="73BA45DB"/>
    <w:rsid w:val="73BA7013"/>
    <w:rsid w:val="73BE10D0"/>
    <w:rsid w:val="73CC32DE"/>
    <w:rsid w:val="73CC4D7C"/>
    <w:rsid w:val="73CC6DB1"/>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5F3966"/>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5279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87F8D"/>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967AC"/>
    <w:rsid w:val="781B23FC"/>
    <w:rsid w:val="78372A5E"/>
    <w:rsid w:val="784059E3"/>
    <w:rsid w:val="784329E1"/>
    <w:rsid w:val="784451CB"/>
    <w:rsid w:val="784A65D6"/>
    <w:rsid w:val="785A3795"/>
    <w:rsid w:val="785D3AC6"/>
    <w:rsid w:val="78625575"/>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553ED"/>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284E"/>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4A6"/>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80E18"/>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A1198"/>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966E8"/>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30D29"/>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106F"/>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BF7FA3"/>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86906"/>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609BC"/>
    <w:rsid w:val="7F780840"/>
    <w:rsid w:val="7F7B1F1F"/>
    <w:rsid w:val="7F7C55C8"/>
    <w:rsid w:val="7F7F356C"/>
    <w:rsid w:val="7F8322D3"/>
    <w:rsid w:val="7F84443F"/>
    <w:rsid w:val="7F882E57"/>
    <w:rsid w:val="7F8C458B"/>
    <w:rsid w:val="7F92041B"/>
    <w:rsid w:val="7F994C96"/>
    <w:rsid w:val="7F9D4537"/>
    <w:rsid w:val="7F9D657A"/>
    <w:rsid w:val="7FA0015B"/>
    <w:rsid w:val="7FA83506"/>
    <w:rsid w:val="7FAA768F"/>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DF0A3B"/>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character" w:customStyle="1" w:styleId="257">
    <w:name w:val="via2"/>
    <w:basedOn w:val="121"/>
    <w:qFormat/>
    <w:uiPriority w:val="0"/>
    <w:rPr>
      <w:color w:val="95959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6</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2021-10-22T15:40:29Z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